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Veintidós países de América Latina y el Caribe se reúnen en el evento más importante de gobierno digital de la región</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4"/>
          <w:szCs w:val="24"/>
          <w:vertAlign w:val="baseline"/>
        </w:rPr>
      </w:pPr>
      <w:r w:rsidDel="00000000" w:rsidR="00000000" w:rsidRPr="00000000">
        <w:rPr>
          <w:rFonts w:ascii="Gungsuh" w:cs="Gungsuh" w:eastAsia="Gungsuh" w:hAnsi="Gungsuh"/>
          <w:i w:val="1"/>
          <w:sz w:val="24"/>
          <w:szCs w:val="24"/>
          <w:vertAlign w:val="baseline"/>
          <w:rtl w:val="0"/>
        </w:rPr>
        <w:t xml:space="preserve">Santo Domingo, 29 de noviembre de 2017−</w:t>
      </w:r>
      <w:r w:rsidDel="00000000" w:rsidR="00000000" w:rsidRPr="00000000">
        <w:rPr>
          <w:rFonts w:ascii="Times New Roman" w:cs="Times New Roman" w:eastAsia="Times New Roman" w:hAnsi="Times New Roman"/>
          <w:sz w:val="24"/>
          <w:szCs w:val="24"/>
          <w:vertAlign w:val="baseline"/>
          <w:rtl w:val="0"/>
        </w:rPr>
        <w:t xml:space="preserve"> Con la presencia de 22 delegaciones de gobiernos de América Latina y el Caribe, e invitados especiales de países como Corea, España, Estados Unidos, Estonia y Reino Unido, se dio inicio hoy en Santo Domingo (República Dominicana) la XI Reunión Anual de Red de gobierno electrónico de América Latina y el Caribe (Red GEALC),  principal encuentro sobre Gobierno Digital de la región. </w:t>
      </w:r>
    </w:p>
    <w:p w:rsidR="00000000" w:rsidDel="00000000" w:rsidP="00000000" w:rsidRDefault="00000000" w:rsidRPr="00000000">
      <w:pPr>
        <w:widowControl w:val="0"/>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su primera jornada se llevará a cabo un conversatorio sobre los retos y las prioridades en materia de gobierno digital en la región de América Latina y el Caribe. Allí, se darán cita las mejores ideas que han establecido el curso del gobierno electrónico en todo el mundo, con los expertos Siim Sikkut de Estonia, Aitor Cubo de España y Mike Bracken de Reino Unido. Esta mesa será moderada por México, que en esta reunión anual entrega la presidencia de la Red.</w:t>
      </w:r>
    </w:p>
    <w:p w:rsidR="00000000" w:rsidDel="00000000" w:rsidP="00000000" w:rsidRDefault="00000000" w:rsidRPr="00000000">
      <w:pPr>
        <w:widowControl w:val="0"/>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 igual forma, especialistas de Estados Unidos participarán de una sesión sobre las tendencias del gobierno digital. Además, un panel integrado por participantes de Corea expondrá sobre temas como la estrategia futura de ese país en lo que se refiere a gobierno electrónico, Big Data &amp; Open Data y ciudades inteligentes.  </w:t>
      </w:r>
    </w:p>
    <w:p w:rsidR="00000000" w:rsidDel="00000000" w:rsidP="00000000" w:rsidRDefault="00000000" w:rsidRPr="00000000">
      <w:pPr>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Por otra parte, los países miembro de la Red apuestan por una transformación de servicios centrada en el usuario, lo que se puede lograr a través del uso de tecnologías exponenciales, tema que se tocará en el panel tendencias en Gobierno Digital. A su ve</w:t>
      </w:r>
      <w:r w:rsidDel="00000000" w:rsidR="00000000" w:rsidRPr="00000000">
        <w:rPr>
          <w:rFonts w:ascii="Times New Roman" w:cs="Times New Roman" w:eastAsia="Times New Roman" w:hAnsi="Times New Roman"/>
          <w:sz w:val="24"/>
          <w:szCs w:val="24"/>
          <w:rtl w:val="0"/>
        </w:rPr>
        <w:t xml:space="preserve">z</w:t>
      </w:r>
      <w:r w:rsidDel="00000000" w:rsidR="00000000" w:rsidRPr="00000000">
        <w:rPr>
          <w:rFonts w:ascii="Times New Roman" w:cs="Times New Roman" w:eastAsia="Times New Roman" w:hAnsi="Times New Roman"/>
          <w:sz w:val="24"/>
          <w:szCs w:val="24"/>
          <w:vertAlign w:val="baseline"/>
          <w:rtl w:val="0"/>
        </w:rPr>
        <w:t xml:space="preserve">, la inclusión digital, la simplificación de los trámites en la administración pública, los Datos Abiertos, la ciberseguridad y el software público serán temas de intercambio durante las jornadas de trabajo. Por último, al finalizar la jornada, el BID lanzará un curso en línea (MOOC) sobre Economía Digital.</w:t>
      </w:r>
    </w:p>
    <w:p w:rsidR="00000000" w:rsidDel="00000000" w:rsidP="00000000" w:rsidRDefault="00000000" w:rsidRPr="00000000">
      <w:pPr>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la segunda sesión de trabajo, que tendrá lugar el jueves 30, se realizarán  los talleres sobre Identidad Digital, </w:t>
      </w:r>
      <w:r w:rsidDel="00000000" w:rsidR="00000000" w:rsidRPr="00000000">
        <w:rPr>
          <w:rFonts w:ascii="Times New Roman" w:cs="Times New Roman" w:eastAsia="Times New Roman" w:hAnsi="Times New Roman"/>
          <w:sz w:val="24"/>
          <w:szCs w:val="24"/>
          <w:rtl w:val="0"/>
        </w:rPr>
        <w:t xml:space="preserve">Interoperabilidad</w:t>
      </w:r>
      <w:r w:rsidDel="00000000" w:rsidR="00000000" w:rsidRPr="00000000">
        <w:rPr>
          <w:rFonts w:ascii="Times New Roman" w:cs="Times New Roman" w:eastAsia="Times New Roman" w:hAnsi="Times New Roman"/>
          <w:sz w:val="24"/>
          <w:szCs w:val="24"/>
          <w:vertAlign w:val="baseline"/>
          <w:rtl w:val="0"/>
        </w:rPr>
        <w:t xml:space="preserve"> y Portal Único, y tendrá lugar la asamblea anual en la que además de elegir al Comité Ejecutivo y Presidencia de la Red GEALC se presentará el nuevo portal web de la Red.</w:t>
      </w:r>
    </w:p>
    <w:p w:rsidR="00000000" w:rsidDel="00000000" w:rsidP="00000000" w:rsidRDefault="00000000" w:rsidRPr="00000000">
      <w:pPr>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Red G</w:t>
      </w:r>
      <w:r w:rsidDel="00000000" w:rsidR="00000000" w:rsidRPr="00000000">
        <w:rPr>
          <w:rFonts w:ascii="Times New Roman" w:cs="Times New Roman" w:eastAsia="Times New Roman" w:hAnsi="Times New Roman"/>
          <w:sz w:val="24"/>
          <w:szCs w:val="24"/>
          <w:rtl w:val="0"/>
        </w:rPr>
        <w:t xml:space="preserve">EALC</w:t>
      </w:r>
      <w:r w:rsidDel="00000000" w:rsidR="00000000" w:rsidRPr="00000000">
        <w:rPr>
          <w:rFonts w:ascii="Times New Roman" w:cs="Times New Roman" w:eastAsia="Times New Roman" w:hAnsi="Times New Roman"/>
          <w:sz w:val="24"/>
          <w:szCs w:val="24"/>
          <w:vertAlign w:val="baseline"/>
          <w:rtl w:val="0"/>
        </w:rPr>
        <w:t xml:space="preserve"> es el mecanismo regional de intercambio de conocimiento y cooperación técnica en gobierno digital entre los países de la región. Con 14 años de funcionamiento, cuenta con el impulso del Banco </w:t>
      </w:r>
      <w:r w:rsidDel="00000000" w:rsidR="00000000" w:rsidRPr="00000000">
        <w:rPr>
          <w:rFonts w:ascii="Times New Roman" w:cs="Times New Roman" w:eastAsia="Times New Roman" w:hAnsi="Times New Roman"/>
          <w:sz w:val="24"/>
          <w:szCs w:val="24"/>
          <w:rtl w:val="0"/>
        </w:rPr>
        <w:t xml:space="preserve">Interamericano</w:t>
      </w:r>
      <w:r w:rsidDel="00000000" w:rsidR="00000000" w:rsidRPr="00000000">
        <w:rPr>
          <w:rFonts w:ascii="Times New Roman" w:cs="Times New Roman" w:eastAsia="Times New Roman" w:hAnsi="Times New Roman"/>
          <w:sz w:val="24"/>
          <w:szCs w:val="24"/>
          <w:vertAlign w:val="baseline"/>
          <w:rtl w:val="0"/>
        </w:rPr>
        <w:t xml:space="preserve"> de Desarrollo (BID) y la secretaría técnica de la Organización de los Estados Americanos (OEA).</w:t>
      </w:r>
    </w:p>
    <w:p w:rsidR="00000000" w:rsidDel="00000000" w:rsidP="00000000" w:rsidRDefault="00000000" w:rsidRPr="00000000">
      <w:pPr>
        <w:contextualSpacing w:val="0"/>
        <w:jc w:val="both"/>
        <w:rPr>
          <w:rFonts w:ascii="Times New Roman" w:cs="Times New Roman" w:eastAsia="Times New Roman" w:hAnsi="Times New Roman"/>
          <w:sz w:val="24"/>
          <w:szCs w:val="24"/>
          <w:vertAlign w:val="baseline"/>
        </w:rPr>
      </w:pPr>
      <w:bookmarkStart w:colFirst="0" w:colLast="0" w:name="_gjdgxs" w:id="0"/>
      <w:bookmarkEnd w:id="0"/>
      <w:r w:rsidDel="00000000" w:rsidR="00000000" w:rsidRPr="00000000">
        <w:rPr>
          <w:rFonts w:ascii="Times New Roman" w:cs="Times New Roman" w:eastAsia="Times New Roman" w:hAnsi="Times New Roman"/>
          <w:sz w:val="24"/>
          <w:szCs w:val="24"/>
          <w:vertAlign w:val="baseline"/>
          <w:rtl w:val="0"/>
        </w:rPr>
        <w:t xml:space="preserve">Esta XI Reunión Anual es coorganizada por el gobierno dominicano a través de su Oficina Presidencial de Tecnologías de la Información y la Comunicación (OPTIC), el BID y la OEA, con el apoyo de México como actual país presidente de Red G</w:t>
      </w:r>
      <w:r w:rsidDel="00000000" w:rsidR="00000000" w:rsidRPr="00000000">
        <w:rPr>
          <w:rFonts w:ascii="Times New Roman" w:cs="Times New Roman" w:eastAsia="Times New Roman" w:hAnsi="Times New Roman"/>
          <w:sz w:val="24"/>
          <w:szCs w:val="24"/>
          <w:rtl w:val="0"/>
        </w:rPr>
        <w:t xml:space="preserve">EALC</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pPr>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Estas actividades pueden seguirse en vivo a través de internet en el sitio www.redgealc.net.   </w:t>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sectPr>
      <w:pgSz w:h="16838" w:w="11906"/>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s-UY"/>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